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53AF4" w14:textId="77777777" w:rsidR="00E52235" w:rsidRPr="00941FC7" w:rsidRDefault="00E52235">
      <w:pPr>
        <w:rPr>
          <w:rFonts w:asciiTheme="minorHAnsi" w:hAnsiTheme="minorHAnsi" w:cstheme="minorHAnsi"/>
          <w:b/>
          <w:bCs/>
        </w:rPr>
      </w:pPr>
      <w:r w:rsidRPr="00941FC7">
        <w:rPr>
          <w:rFonts w:asciiTheme="minorHAnsi" w:hAnsiTheme="minorHAnsi" w:cstheme="minorHAnsi"/>
          <w:b/>
          <w:bCs/>
        </w:rPr>
        <w:t xml:space="preserve">FOR IMMEDIATE RELEASE </w:t>
      </w:r>
    </w:p>
    <w:p w14:paraId="4D17E61F" w14:textId="77777777" w:rsidR="00E52235" w:rsidRPr="00941FC7" w:rsidRDefault="00E52235">
      <w:pPr>
        <w:rPr>
          <w:rFonts w:asciiTheme="minorHAnsi" w:hAnsiTheme="minorHAnsi" w:cstheme="minorHAnsi"/>
          <w:b/>
          <w:bCs/>
        </w:rPr>
      </w:pPr>
    </w:p>
    <w:p w14:paraId="7C32A133" w14:textId="0F48251D" w:rsidR="00E52235" w:rsidRPr="00941FC7" w:rsidRDefault="00E52235">
      <w:pPr>
        <w:rPr>
          <w:rFonts w:asciiTheme="minorHAnsi" w:hAnsiTheme="minorHAnsi" w:cstheme="minorHAnsi"/>
        </w:rPr>
      </w:pPr>
      <w:r w:rsidRPr="00941FC7">
        <w:rPr>
          <w:rFonts w:asciiTheme="minorHAnsi" w:hAnsiTheme="minorHAnsi" w:cstheme="minorHAnsi"/>
          <w:b/>
          <w:bCs/>
        </w:rPr>
        <w:t>SLUG:</w:t>
      </w:r>
      <w:r w:rsidRPr="00941FC7">
        <w:rPr>
          <w:rFonts w:asciiTheme="minorHAnsi" w:hAnsiTheme="minorHAnsi" w:cstheme="minorHAnsi"/>
        </w:rPr>
        <w:t xml:space="preserve"> Commercial Building Reopening Tips from CDC and Osceola Water Works</w:t>
      </w:r>
    </w:p>
    <w:p w14:paraId="5E8B10A8" w14:textId="77777777" w:rsidR="00941FC7" w:rsidRPr="00941FC7" w:rsidRDefault="00941FC7">
      <w:pPr>
        <w:rPr>
          <w:rFonts w:asciiTheme="minorHAnsi" w:hAnsiTheme="minorHAnsi" w:cstheme="minorHAnsi"/>
        </w:rPr>
      </w:pPr>
    </w:p>
    <w:p w14:paraId="5E5E4853" w14:textId="55EF75E7" w:rsidR="00E24936" w:rsidRPr="00941FC7" w:rsidRDefault="00E52235">
      <w:pPr>
        <w:rPr>
          <w:rFonts w:asciiTheme="minorHAnsi" w:hAnsiTheme="minorHAnsi" w:cstheme="minorHAnsi"/>
        </w:rPr>
      </w:pPr>
      <w:r w:rsidRPr="00941FC7">
        <w:rPr>
          <w:rFonts w:asciiTheme="minorHAnsi" w:hAnsiTheme="minorHAnsi" w:cstheme="minorHAnsi"/>
        </w:rPr>
        <w:t xml:space="preserve">(OSCEOLA, IA - MAY </w:t>
      </w:r>
      <w:r w:rsidR="00A77A38" w:rsidRPr="00941FC7">
        <w:rPr>
          <w:rFonts w:asciiTheme="minorHAnsi" w:hAnsiTheme="minorHAnsi" w:cstheme="minorHAnsi"/>
        </w:rPr>
        <w:t>15</w:t>
      </w:r>
      <w:r w:rsidRPr="00941FC7">
        <w:rPr>
          <w:rFonts w:asciiTheme="minorHAnsi" w:hAnsiTheme="minorHAnsi" w:cstheme="minorHAnsi"/>
        </w:rPr>
        <w:t xml:space="preserve">, 2020) </w:t>
      </w:r>
      <w:r w:rsidR="00E24936" w:rsidRPr="00941FC7">
        <w:rPr>
          <w:rFonts w:asciiTheme="minorHAnsi" w:hAnsiTheme="minorHAnsi" w:cstheme="minorHAnsi"/>
        </w:rPr>
        <w:t xml:space="preserve">As the state of Iowa looks at reopening businesses after </w:t>
      </w:r>
      <w:r w:rsidR="001804EF" w:rsidRPr="00941FC7">
        <w:rPr>
          <w:rFonts w:asciiTheme="minorHAnsi" w:hAnsiTheme="minorHAnsi" w:cstheme="minorHAnsi"/>
        </w:rPr>
        <w:t>an extended COVID-19 shutdown</w:t>
      </w:r>
      <w:r w:rsidR="00E24936" w:rsidRPr="00941FC7">
        <w:rPr>
          <w:rFonts w:asciiTheme="minorHAnsi" w:hAnsiTheme="minorHAnsi" w:cstheme="minorHAnsi"/>
        </w:rPr>
        <w:t>, there are a number of preparation steps to be taken to ensure the safety of employees and customers. One thing that may not be top of mind for many people is the condition of the building’s water system.</w:t>
      </w:r>
    </w:p>
    <w:p w14:paraId="0AE9A32E" w14:textId="36BC99C1" w:rsidR="00E24936" w:rsidRPr="00941FC7" w:rsidRDefault="00E24936">
      <w:pPr>
        <w:rPr>
          <w:rFonts w:asciiTheme="minorHAnsi" w:hAnsiTheme="minorHAnsi" w:cstheme="minorHAnsi"/>
        </w:rPr>
      </w:pPr>
      <w:r w:rsidRPr="00941FC7">
        <w:rPr>
          <w:rFonts w:asciiTheme="minorHAnsi" w:hAnsiTheme="minorHAnsi" w:cstheme="minorHAnsi"/>
        </w:rPr>
        <w:t xml:space="preserve">Prolonged shutdown or reduced operation such as </w:t>
      </w:r>
      <w:r w:rsidR="00DD1DB5" w:rsidRPr="00941FC7">
        <w:rPr>
          <w:rFonts w:asciiTheme="minorHAnsi" w:hAnsiTheme="minorHAnsi" w:cstheme="minorHAnsi"/>
        </w:rPr>
        <w:t xml:space="preserve">those experienced </w:t>
      </w:r>
      <w:r w:rsidRPr="00941FC7">
        <w:rPr>
          <w:rFonts w:asciiTheme="minorHAnsi" w:hAnsiTheme="minorHAnsi" w:cstheme="minorHAnsi"/>
        </w:rPr>
        <w:t>during this pandemic may impact the water quality in commercial businesses, including schools, daycares, and</w:t>
      </w:r>
      <w:r w:rsidR="005146BF" w:rsidRPr="00941FC7">
        <w:rPr>
          <w:rFonts w:asciiTheme="minorHAnsi" w:hAnsiTheme="minorHAnsi" w:cstheme="minorHAnsi"/>
        </w:rPr>
        <w:t xml:space="preserve"> beauty salons, just to name a few. Along with potential microbial hazards, the stagnant water may have produced disinfectant by-products, metals leaching into the stagnant water, and even a possible build-up of sewer gases. </w:t>
      </w:r>
    </w:p>
    <w:p w14:paraId="448C2101" w14:textId="00C4F417" w:rsidR="00E24936" w:rsidRPr="00941FC7" w:rsidRDefault="00E24936">
      <w:pPr>
        <w:rPr>
          <w:rFonts w:asciiTheme="minorHAnsi" w:hAnsiTheme="minorHAnsi" w:cstheme="minorHAnsi"/>
        </w:rPr>
      </w:pPr>
      <w:r w:rsidRPr="00941FC7">
        <w:rPr>
          <w:rFonts w:asciiTheme="minorHAnsi" w:hAnsiTheme="minorHAnsi" w:cstheme="minorHAnsi"/>
        </w:rPr>
        <w:t>Here are a few suggestions from Osceola Water Works to help you keep your staff and clientele safe as you transition back into business:</w:t>
      </w:r>
    </w:p>
    <w:p w14:paraId="43A66BB1" w14:textId="5A31E007" w:rsidR="00B31779" w:rsidRPr="00941FC7" w:rsidRDefault="00FD67D4" w:rsidP="00054D82">
      <w:pPr>
        <w:pStyle w:val="ListParagraph"/>
        <w:numPr>
          <w:ilvl w:val="0"/>
          <w:numId w:val="2"/>
        </w:numPr>
        <w:rPr>
          <w:rFonts w:cstheme="minorHAnsi"/>
          <w:sz w:val="24"/>
          <w:szCs w:val="24"/>
        </w:rPr>
      </w:pPr>
      <w:r w:rsidRPr="00941FC7">
        <w:rPr>
          <w:rFonts w:cstheme="minorHAnsi"/>
          <w:sz w:val="24"/>
          <w:szCs w:val="24"/>
        </w:rPr>
        <w:t>Flush the entire building</w:t>
      </w:r>
      <w:r w:rsidR="00B31779" w:rsidRPr="00941FC7">
        <w:rPr>
          <w:rFonts w:cstheme="minorHAnsi"/>
          <w:sz w:val="24"/>
          <w:szCs w:val="24"/>
        </w:rPr>
        <w:t>, through all points of use like showers, sink faucets, water fountains, and toilets</w:t>
      </w:r>
      <w:r w:rsidRPr="00941FC7">
        <w:rPr>
          <w:rFonts w:cstheme="minorHAnsi"/>
          <w:sz w:val="24"/>
          <w:szCs w:val="24"/>
        </w:rPr>
        <w:t>. This will clear out all the low quality water in the system and replace it with clean, high quality water</w:t>
      </w:r>
      <w:r w:rsidR="00B31779" w:rsidRPr="00941FC7">
        <w:rPr>
          <w:rFonts w:cstheme="minorHAnsi"/>
          <w:sz w:val="24"/>
          <w:szCs w:val="24"/>
        </w:rPr>
        <w:t xml:space="preserve"> from the water mains under the street</w:t>
      </w:r>
      <w:r w:rsidRPr="00941FC7">
        <w:rPr>
          <w:rFonts w:cstheme="minorHAnsi"/>
          <w:sz w:val="24"/>
          <w:szCs w:val="24"/>
        </w:rPr>
        <w:t>.</w:t>
      </w:r>
    </w:p>
    <w:p w14:paraId="1F8CE37A" w14:textId="78378F4B" w:rsidR="00B31779" w:rsidRPr="00941FC7" w:rsidRDefault="00B31779" w:rsidP="00054D82">
      <w:pPr>
        <w:pStyle w:val="ListParagraph"/>
        <w:numPr>
          <w:ilvl w:val="0"/>
          <w:numId w:val="2"/>
        </w:numPr>
        <w:rPr>
          <w:rFonts w:cstheme="minorHAnsi"/>
          <w:sz w:val="24"/>
          <w:szCs w:val="24"/>
        </w:rPr>
      </w:pPr>
      <w:r w:rsidRPr="00941FC7">
        <w:rPr>
          <w:rFonts w:cstheme="minorHAnsi"/>
          <w:sz w:val="24"/>
          <w:szCs w:val="24"/>
        </w:rPr>
        <w:t>Start in the basement and work upward to other floors, flushing one area and fixture at a time.</w:t>
      </w:r>
    </w:p>
    <w:p w14:paraId="06811FF8" w14:textId="1D9C3055" w:rsidR="00B31779" w:rsidRPr="00941FC7" w:rsidRDefault="00B31779" w:rsidP="00B31779">
      <w:pPr>
        <w:pStyle w:val="ListParagraph"/>
        <w:numPr>
          <w:ilvl w:val="0"/>
          <w:numId w:val="2"/>
        </w:numPr>
        <w:rPr>
          <w:rFonts w:cstheme="minorHAnsi"/>
          <w:sz w:val="24"/>
          <w:szCs w:val="24"/>
        </w:rPr>
      </w:pPr>
      <w:r w:rsidRPr="00941FC7">
        <w:rPr>
          <w:rFonts w:cstheme="minorHAnsi"/>
          <w:sz w:val="24"/>
          <w:szCs w:val="24"/>
        </w:rPr>
        <w:t xml:space="preserve">Flush cold-water lines first. Make sure the water heater is set to at least 120°F and run the hot water through all taps until it reaches its highest temperature. </w:t>
      </w:r>
    </w:p>
    <w:p w14:paraId="4C82983A" w14:textId="2B443297" w:rsidR="00E24936" w:rsidRPr="00941FC7" w:rsidRDefault="00B31779" w:rsidP="00054D82">
      <w:pPr>
        <w:pStyle w:val="ListParagraph"/>
        <w:numPr>
          <w:ilvl w:val="0"/>
          <w:numId w:val="2"/>
        </w:numPr>
        <w:rPr>
          <w:rFonts w:cstheme="minorHAnsi"/>
          <w:sz w:val="24"/>
          <w:szCs w:val="24"/>
        </w:rPr>
      </w:pPr>
      <w:r w:rsidRPr="00941FC7">
        <w:rPr>
          <w:rFonts w:cstheme="minorHAnsi"/>
          <w:sz w:val="24"/>
          <w:szCs w:val="24"/>
        </w:rPr>
        <w:t>Flush out</w:t>
      </w:r>
      <w:r w:rsidR="00FD67D4" w:rsidRPr="00941FC7">
        <w:rPr>
          <w:rFonts w:cstheme="minorHAnsi"/>
          <w:sz w:val="24"/>
          <w:szCs w:val="24"/>
        </w:rPr>
        <w:t xml:space="preserve"> ice machines, dishwashers, and any other appliances that use water.</w:t>
      </w:r>
      <w:r w:rsidRPr="00941FC7">
        <w:rPr>
          <w:rFonts w:cstheme="minorHAnsi"/>
          <w:sz w:val="24"/>
          <w:szCs w:val="24"/>
        </w:rPr>
        <w:t xml:space="preserve"> Some appliances may need additional cleaning besides flushing, such as discarding any ice made prior to flushing.</w:t>
      </w:r>
    </w:p>
    <w:p w14:paraId="04D8EB1A" w14:textId="725599AD" w:rsidR="00FD67D4" w:rsidRPr="00941FC7" w:rsidRDefault="00FD67D4" w:rsidP="00054D82">
      <w:pPr>
        <w:pStyle w:val="ListParagraph"/>
        <w:numPr>
          <w:ilvl w:val="0"/>
          <w:numId w:val="2"/>
        </w:numPr>
        <w:rPr>
          <w:rFonts w:cstheme="minorHAnsi"/>
          <w:sz w:val="24"/>
          <w:szCs w:val="24"/>
        </w:rPr>
      </w:pPr>
      <w:r w:rsidRPr="00941FC7">
        <w:rPr>
          <w:rFonts w:cstheme="minorHAnsi"/>
          <w:sz w:val="24"/>
          <w:szCs w:val="24"/>
        </w:rPr>
        <w:t>Inspect all water system equipment for issues that may affect function. Include cooling towers, boilers, pumps, and backflow preventers. Verify that no annual inspections or test cycles were missed during the closure.</w:t>
      </w:r>
    </w:p>
    <w:p w14:paraId="58F58558" w14:textId="66BC9046" w:rsidR="00B31779" w:rsidRPr="00941FC7" w:rsidRDefault="00B31779" w:rsidP="00054D82">
      <w:pPr>
        <w:pStyle w:val="ListParagraph"/>
        <w:numPr>
          <w:ilvl w:val="0"/>
          <w:numId w:val="2"/>
        </w:numPr>
        <w:rPr>
          <w:rFonts w:cstheme="minorHAnsi"/>
          <w:sz w:val="24"/>
          <w:szCs w:val="24"/>
        </w:rPr>
      </w:pPr>
      <w:r w:rsidRPr="00941FC7">
        <w:rPr>
          <w:rFonts w:cstheme="minorHAnsi"/>
          <w:sz w:val="24"/>
          <w:szCs w:val="24"/>
        </w:rPr>
        <w:t>Clean fountains and all decorative water features, being sure to remove all visible debris, slime, and biofilm.</w:t>
      </w:r>
    </w:p>
    <w:p w14:paraId="6AF7AADD" w14:textId="21A2AF89" w:rsidR="001804EF" w:rsidRPr="00941FC7" w:rsidRDefault="001804EF" w:rsidP="001804EF">
      <w:pPr>
        <w:rPr>
          <w:rFonts w:asciiTheme="minorHAnsi" w:hAnsiTheme="minorHAnsi" w:cstheme="minorHAnsi"/>
        </w:rPr>
      </w:pPr>
      <w:r w:rsidRPr="00941FC7">
        <w:rPr>
          <w:rFonts w:asciiTheme="minorHAnsi" w:hAnsiTheme="minorHAnsi" w:cstheme="minorHAnsi"/>
        </w:rPr>
        <w:t xml:space="preserve">These are basic, preliminary steps to try to get your business’s water quality back to where it was before the prolonged shutdown. There are more comprehensive instructions for building reopening on the </w:t>
      </w:r>
      <w:hyperlink r:id="rId5" w:history="1">
        <w:r w:rsidRPr="00941FC7">
          <w:rPr>
            <w:rStyle w:val="Hyperlink"/>
            <w:rFonts w:asciiTheme="minorHAnsi" w:hAnsiTheme="minorHAnsi" w:cstheme="minorHAnsi"/>
          </w:rPr>
          <w:t>CDC Website</w:t>
        </w:r>
      </w:hyperlink>
      <w:r w:rsidR="002070F1" w:rsidRPr="00941FC7">
        <w:rPr>
          <w:rStyle w:val="Hyperlink"/>
          <w:rFonts w:asciiTheme="minorHAnsi" w:hAnsiTheme="minorHAnsi" w:cstheme="minorHAnsi"/>
          <w:vertAlign w:val="superscript"/>
        </w:rPr>
        <w:t>1</w:t>
      </w:r>
      <w:r w:rsidRPr="00941FC7">
        <w:rPr>
          <w:rFonts w:asciiTheme="minorHAnsi" w:hAnsiTheme="minorHAnsi" w:cstheme="minorHAnsi"/>
        </w:rPr>
        <w:t xml:space="preserve"> as well as from the </w:t>
      </w:r>
      <w:hyperlink r:id="rId6" w:history="1">
        <w:r w:rsidRPr="00941FC7">
          <w:rPr>
            <w:rStyle w:val="Hyperlink"/>
            <w:rFonts w:asciiTheme="minorHAnsi" w:hAnsiTheme="minorHAnsi" w:cstheme="minorHAnsi"/>
          </w:rPr>
          <w:t>Environmental Science Policy &amp; Research Institute</w:t>
        </w:r>
      </w:hyperlink>
      <w:r w:rsidR="002070F1" w:rsidRPr="00941FC7">
        <w:rPr>
          <w:rStyle w:val="Hyperlink"/>
          <w:rFonts w:asciiTheme="minorHAnsi" w:hAnsiTheme="minorHAnsi" w:cstheme="minorHAnsi"/>
          <w:vertAlign w:val="superscript"/>
        </w:rPr>
        <w:t>2</w:t>
      </w:r>
      <w:r w:rsidRPr="00941FC7">
        <w:rPr>
          <w:rFonts w:asciiTheme="minorHAnsi" w:hAnsiTheme="minorHAnsi" w:cstheme="minorHAnsi"/>
        </w:rPr>
        <w:t xml:space="preserve"> (ESPRI)</w:t>
      </w:r>
      <w:r w:rsidR="00C60416" w:rsidRPr="00941FC7">
        <w:rPr>
          <w:rFonts w:asciiTheme="minorHAnsi" w:hAnsiTheme="minorHAnsi" w:cstheme="minorHAnsi"/>
        </w:rPr>
        <w:t xml:space="preserve">. And for a comprehensive checklist from the Environmental Protection Agency (EPA), you can </w:t>
      </w:r>
      <w:r w:rsidR="002070F1" w:rsidRPr="00941FC7">
        <w:rPr>
          <w:rFonts w:asciiTheme="minorHAnsi" w:hAnsiTheme="minorHAnsi" w:cstheme="minorHAnsi"/>
        </w:rPr>
        <w:t>visit the Osceola Water Works Web site to</w:t>
      </w:r>
      <w:r w:rsidR="00C60416" w:rsidRPr="00941FC7">
        <w:rPr>
          <w:rFonts w:asciiTheme="minorHAnsi" w:hAnsiTheme="minorHAnsi" w:cstheme="minorHAnsi"/>
        </w:rPr>
        <w:t xml:space="preserve"> open, view and print their PDF.</w:t>
      </w:r>
    </w:p>
    <w:p w14:paraId="76322A3C" w14:textId="77777777" w:rsidR="002070F1" w:rsidRPr="00941FC7" w:rsidRDefault="002070F1" w:rsidP="001804EF">
      <w:pPr>
        <w:rPr>
          <w:rFonts w:asciiTheme="minorHAnsi" w:hAnsiTheme="minorHAnsi" w:cstheme="minorHAnsi"/>
        </w:rPr>
      </w:pPr>
    </w:p>
    <w:p w14:paraId="111AE80B" w14:textId="34FD5853" w:rsidR="001804EF" w:rsidRPr="00941FC7" w:rsidRDefault="001804EF" w:rsidP="001804EF">
      <w:pPr>
        <w:rPr>
          <w:rFonts w:asciiTheme="minorHAnsi" w:hAnsiTheme="minorHAnsi" w:cstheme="minorHAnsi"/>
        </w:rPr>
      </w:pPr>
      <w:r w:rsidRPr="00941FC7">
        <w:rPr>
          <w:rFonts w:asciiTheme="minorHAnsi" w:hAnsiTheme="minorHAnsi" w:cstheme="minorHAnsi"/>
        </w:rPr>
        <w:t xml:space="preserve">We understand this is an unprecedented situation, so don’t hesitate to contact Brandon Patterson, Water Superintendent for Osceola Water Works, by calling (641)342-1435 or by email at </w:t>
      </w:r>
      <w:hyperlink r:id="rId7" w:history="1">
        <w:r w:rsidRPr="00941FC7">
          <w:rPr>
            <w:rStyle w:val="Hyperlink"/>
            <w:rFonts w:asciiTheme="minorHAnsi" w:hAnsiTheme="minorHAnsi" w:cstheme="minorHAnsi"/>
          </w:rPr>
          <w:t>osceolawater2@windstream.net</w:t>
        </w:r>
      </w:hyperlink>
      <w:r w:rsidRPr="00941FC7">
        <w:rPr>
          <w:rFonts w:asciiTheme="minorHAnsi" w:hAnsiTheme="minorHAnsi" w:cstheme="minorHAnsi"/>
        </w:rPr>
        <w:t xml:space="preserve"> if you have further questions and concerns.</w:t>
      </w:r>
    </w:p>
    <w:p w14:paraId="7CB057D6" w14:textId="1426A5C1" w:rsidR="002070F1" w:rsidRPr="00941FC7" w:rsidRDefault="002070F1" w:rsidP="001804EF">
      <w:pPr>
        <w:rPr>
          <w:rFonts w:asciiTheme="minorHAnsi" w:hAnsiTheme="minorHAnsi" w:cstheme="minorHAnsi"/>
        </w:rPr>
      </w:pPr>
    </w:p>
    <w:p w14:paraId="29B19E14" w14:textId="4BDBD2E8" w:rsidR="002070F1" w:rsidRPr="00941FC7" w:rsidRDefault="002070F1" w:rsidP="001804EF">
      <w:pPr>
        <w:rPr>
          <w:rFonts w:asciiTheme="minorHAnsi" w:hAnsiTheme="minorHAnsi" w:cstheme="minorHAnsi"/>
        </w:rPr>
      </w:pPr>
      <w:r w:rsidRPr="00941FC7">
        <w:rPr>
          <w:rFonts w:asciiTheme="minorHAnsi" w:hAnsiTheme="minorHAnsi" w:cstheme="minorHAnsi"/>
        </w:rPr>
        <w:t xml:space="preserve">Reference Links: </w:t>
      </w:r>
    </w:p>
    <w:p w14:paraId="5283E99C" w14:textId="77777777" w:rsidR="002070F1" w:rsidRPr="00941FC7" w:rsidRDefault="002070F1" w:rsidP="002070F1">
      <w:pPr>
        <w:rPr>
          <w:rFonts w:asciiTheme="minorHAnsi" w:hAnsiTheme="minorHAnsi" w:cstheme="minorHAnsi"/>
        </w:rPr>
      </w:pPr>
      <w:r w:rsidRPr="00941FC7">
        <w:rPr>
          <w:rFonts w:asciiTheme="minorHAnsi" w:hAnsiTheme="minorHAnsi" w:cstheme="minorHAnsi"/>
        </w:rPr>
        <w:t xml:space="preserve">1 - </w:t>
      </w:r>
      <w:hyperlink r:id="rId8" w:history="1">
        <w:r w:rsidRPr="00941FC7">
          <w:rPr>
            <w:rFonts w:asciiTheme="minorHAnsi" w:hAnsiTheme="minorHAnsi" w:cstheme="minorHAnsi"/>
            <w:color w:val="0000FF"/>
            <w:u w:val="single"/>
          </w:rPr>
          <w:t>https://www.cdc.gov/coronavirus/2019-ncov/php/building-water-system.html</w:t>
        </w:r>
      </w:hyperlink>
    </w:p>
    <w:p w14:paraId="3584A889" w14:textId="77777777" w:rsidR="002070F1" w:rsidRPr="00941FC7" w:rsidRDefault="002070F1" w:rsidP="002070F1">
      <w:pPr>
        <w:rPr>
          <w:rFonts w:asciiTheme="minorHAnsi" w:hAnsiTheme="minorHAnsi" w:cstheme="minorHAnsi"/>
        </w:rPr>
      </w:pPr>
      <w:r w:rsidRPr="00941FC7">
        <w:rPr>
          <w:rFonts w:asciiTheme="minorHAnsi" w:hAnsiTheme="minorHAnsi" w:cstheme="minorHAnsi"/>
        </w:rPr>
        <w:lastRenderedPageBreak/>
        <w:t xml:space="preserve">2 - </w:t>
      </w:r>
      <w:hyperlink r:id="rId9" w:history="1">
        <w:r w:rsidRPr="00941FC7">
          <w:rPr>
            <w:rFonts w:asciiTheme="minorHAnsi" w:hAnsiTheme="minorHAnsi" w:cstheme="minorHAnsi"/>
            <w:color w:val="0000FF"/>
            <w:u w:val="single"/>
          </w:rPr>
          <w:t>https://esprinstitute.org/wp-content/uploads/2020/04/FINAL_Coronavirus-Building-Flushing-Guidance-20200403-rev-1.pdf</w:t>
        </w:r>
      </w:hyperlink>
    </w:p>
    <w:p w14:paraId="4B36F801" w14:textId="3D425681" w:rsidR="002070F1" w:rsidRPr="00941FC7" w:rsidRDefault="002070F1" w:rsidP="001804EF">
      <w:pPr>
        <w:rPr>
          <w:rFonts w:asciiTheme="minorHAnsi" w:hAnsiTheme="minorHAnsi" w:cstheme="minorHAnsi"/>
        </w:rPr>
      </w:pPr>
    </w:p>
    <w:p w14:paraId="04E5DCF6" w14:textId="015A7E92" w:rsidR="00E52235" w:rsidRPr="00941FC7" w:rsidRDefault="00E52235" w:rsidP="001804EF">
      <w:pPr>
        <w:rPr>
          <w:rFonts w:asciiTheme="minorHAnsi" w:hAnsiTheme="minorHAnsi" w:cstheme="minorHAnsi"/>
        </w:rPr>
      </w:pPr>
    </w:p>
    <w:p w14:paraId="07B6592B" w14:textId="53FC8ECF" w:rsidR="00E52235" w:rsidRPr="00941FC7" w:rsidRDefault="00E52235" w:rsidP="001804EF">
      <w:pPr>
        <w:rPr>
          <w:rFonts w:asciiTheme="minorHAnsi" w:hAnsiTheme="minorHAnsi" w:cstheme="minorHAnsi"/>
        </w:rPr>
      </w:pPr>
      <w:r w:rsidRPr="00941FC7">
        <w:rPr>
          <w:rFonts w:asciiTheme="minorHAnsi" w:hAnsiTheme="minorHAnsi" w:cstheme="minorHAnsi"/>
        </w:rPr>
        <w:t>##30##</w:t>
      </w:r>
    </w:p>
    <w:p w14:paraId="1AFF8527" w14:textId="57A3D680" w:rsidR="00E52235" w:rsidRPr="00941FC7" w:rsidRDefault="00E52235" w:rsidP="001804EF">
      <w:pPr>
        <w:rPr>
          <w:rFonts w:asciiTheme="minorHAnsi" w:hAnsiTheme="minorHAnsi" w:cstheme="minorHAnsi"/>
        </w:rPr>
      </w:pPr>
    </w:p>
    <w:p w14:paraId="03868DF8" w14:textId="7FFEF7B4" w:rsidR="00E52235" w:rsidRPr="00941FC7" w:rsidRDefault="00E52235" w:rsidP="00E52235">
      <w:pPr>
        <w:rPr>
          <w:rFonts w:asciiTheme="minorHAnsi" w:hAnsiTheme="minorHAnsi" w:cstheme="minorHAnsi"/>
          <w:b/>
          <w:bCs/>
        </w:rPr>
      </w:pPr>
      <w:r w:rsidRPr="00941FC7">
        <w:rPr>
          <w:rFonts w:asciiTheme="minorHAnsi" w:hAnsiTheme="minorHAnsi" w:cstheme="minorHAnsi"/>
          <w:b/>
          <w:bCs/>
        </w:rPr>
        <w:t xml:space="preserve">IMAGE: </w:t>
      </w:r>
    </w:p>
    <w:p w14:paraId="5C011572" w14:textId="581AB5D8" w:rsidR="00E52235" w:rsidRPr="00941FC7" w:rsidRDefault="002070F1" w:rsidP="00E52235">
      <w:pPr>
        <w:rPr>
          <w:rFonts w:asciiTheme="minorHAnsi" w:hAnsiTheme="minorHAnsi" w:cstheme="minorHAnsi"/>
        </w:rPr>
      </w:pPr>
      <w:r w:rsidRPr="00941FC7">
        <w:rPr>
          <w:rFonts w:asciiTheme="minorHAnsi" w:hAnsiTheme="minorHAnsi" w:cstheme="minorHAnsi"/>
        </w:rPr>
        <w:t>epa-reopening-checklist.png</w:t>
      </w:r>
      <w:r w:rsidRPr="00941FC7">
        <w:rPr>
          <w:rFonts w:asciiTheme="minorHAnsi" w:hAnsiTheme="minorHAnsi" w:cstheme="minorHAnsi"/>
        </w:rPr>
        <w:t xml:space="preserve"> </w:t>
      </w:r>
      <w:r w:rsidR="00C60416" w:rsidRPr="00941FC7">
        <w:rPr>
          <w:rFonts w:asciiTheme="minorHAnsi" w:hAnsiTheme="minorHAnsi" w:cstheme="minorHAnsi"/>
        </w:rPr>
        <w:t>(</w:t>
      </w:r>
      <w:r w:rsidRPr="00941FC7">
        <w:rPr>
          <w:rFonts w:asciiTheme="minorHAnsi" w:hAnsiTheme="minorHAnsi" w:cstheme="minorHAnsi"/>
        </w:rPr>
        <w:t>caption: A PDF of EPA guidelines can be viewed and downloaded at www.osceolawaterworks.com</w:t>
      </w:r>
      <w:r w:rsidR="00C60416" w:rsidRPr="00941FC7">
        <w:rPr>
          <w:rFonts w:asciiTheme="minorHAnsi" w:hAnsiTheme="minorHAnsi" w:cstheme="minorHAnsi"/>
        </w:rPr>
        <w:t>)</w:t>
      </w:r>
    </w:p>
    <w:p w14:paraId="30A092A7" w14:textId="77777777" w:rsidR="00E52235" w:rsidRPr="00941FC7" w:rsidRDefault="00E52235" w:rsidP="00E52235">
      <w:pPr>
        <w:rPr>
          <w:rFonts w:asciiTheme="minorHAnsi" w:hAnsiTheme="minorHAnsi" w:cstheme="minorHAnsi"/>
        </w:rPr>
      </w:pPr>
    </w:p>
    <w:p w14:paraId="1B26DB26" w14:textId="77777777" w:rsidR="00E52235" w:rsidRPr="00941FC7" w:rsidRDefault="00E52235" w:rsidP="00E52235">
      <w:pPr>
        <w:rPr>
          <w:rFonts w:asciiTheme="minorHAnsi" w:hAnsiTheme="minorHAnsi" w:cstheme="minorHAnsi"/>
          <w:b/>
          <w:bCs/>
        </w:rPr>
      </w:pPr>
      <w:r w:rsidRPr="00941FC7">
        <w:rPr>
          <w:rFonts w:asciiTheme="minorHAnsi" w:hAnsiTheme="minorHAnsi" w:cstheme="minorHAnsi"/>
          <w:b/>
          <w:bCs/>
        </w:rPr>
        <w:t xml:space="preserve">MEDIA CONTACT: </w:t>
      </w:r>
    </w:p>
    <w:p w14:paraId="3CB20969" w14:textId="77777777" w:rsidR="00E52235" w:rsidRPr="00941FC7" w:rsidRDefault="00E52235" w:rsidP="00E52235">
      <w:pPr>
        <w:rPr>
          <w:rFonts w:asciiTheme="minorHAnsi" w:hAnsiTheme="minorHAnsi" w:cstheme="minorHAnsi"/>
        </w:rPr>
      </w:pPr>
      <w:r w:rsidRPr="00941FC7">
        <w:rPr>
          <w:rFonts w:asciiTheme="minorHAnsi" w:hAnsiTheme="minorHAnsi" w:cstheme="minorHAnsi"/>
        </w:rPr>
        <w:t>Andrew B. Clark – ClarkeCountyLife.com</w:t>
      </w:r>
    </w:p>
    <w:p w14:paraId="151FDB5C" w14:textId="77777777" w:rsidR="00E52235" w:rsidRPr="00941FC7" w:rsidRDefault="00E52235" w:rsidP="00E52235">
      <w:pPr>
        <w:rPr>
          <w:rFonts w:asciiTheme="minorHAnsi" w:hAnsiTheme="minorHAnsi" w:cstheme="minorHAnsi"/>
        </w:rPr>
      </w:pPr>
      <w:r w:rsidRPr="00941FC7">
        <w:rPr>
          <w:rFonts w:asciiTheme="minorHAnsi" w:hAnsiTheme="minorHAnsi" w:cstheme="minorHAnsi"/>
        </w:rPr>
        <w:t>SPOKE Communications, LLC, 5400 SE 30</w:t>
      </w:r>
      <w:r w:rsidRPr="00941FC7">
        <w:rPr>
          <w:rFonts w:asciiTheme="minorHAnsi" w:hAnsiTheme="minorHAnsi" w:cstheme="minorHAnsi"/>
          <w:vertAlign w:val="superscript"/>
        </w:rPr>
        <w:t>th</w:t>
      </w:r>
      <w:r w:rsidRPr="00941FC7">
        <w:rPr>
          <w:rFonts w:asciiTheme="minorHAnsi" w:hAnsiTheme="minorHAnsi" w:cstheme="minorHAnsi"/>
        </w:rPr>
        <w:t xml:space="preserve"> Street, Des Moines, IA 50320, phone: 515-257-6584, email: andrew@spokecom.com, website: </w:t>
      </w:r>
      <w:hyperlink r:id="rId10" w:history="1">
        <w:r w:rsidRPr="00941FC7">
          <w:rPr>
            <w:rStyle w:val="Hyperlink"/>
            <w:rFonts w:asciiTheme="minorHAnsi" w:hAnsiTheme="minorHAnsi" w:cstheme="minorHAnsi"/>
          </w:rPr>
          <w:t>www.spokecom.com</w:t>
        </w:r>
      </w:hyperlink>
    </w:p>
    <w:p w14:paraId="022F2694" w14:textId="77777777" w:rsidR="00E52235" w:rsidRPr="00941FC7" w:rsidRDefault="00E52235" w:rsidP="00E52235">
      <w:pPr>
        <w:rPr>
          <w:rFonts w:asciiTheme="minorHAnsi" w:hAnsiTheme="minorHAnsi" w:cstheme="minorHAnsi"/>
        </w:rPr>
      </w:pPr>
    </w:p>
    <w:p w14:paraId="0A0FF83F" w14:textId="77777777" w:rsidR="00E52235" w:rsidRPr="00941FC7" w:rsidRDefault="00E52235" w:rsidP="00E52235">
      <w:pPr>
        <w:rPr>
          <w:rFonts w:asciiTheme="minorHAnsi" w:hAnsiTheme="minorHAnsi" w:cstheme="minorHAnsi"/>
        </w:rPr>
      </w:pPr>
    </w:p>
    <w:sectPr w:rsidR="00E52235" w:rsidRPr="00941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90E7B"/>
    <w:multiLevelType w:val="hybridMultilevel"/>
    <w:tmpl w:val="7CDC8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517580"/>
    <w:multiLevelType w:val="hybridMultilevel"/>
    <w:tmpl w:val="20DCF8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936"/>
    <w:rsid w:val="00054D82"/>
    <w:rsid w:val="001804EF"/>
    <w:rsid w:val="002070F1"/>
    <w:rsid w:val="0038258B"/>
    <w:rsid w:val="004042C8"/>
    <w:rsid w:val="005146BF"/>
    <w:rsid w:val="00941FC7"/>
    <w:rsid w:val="00A77A38"/>
    <w:rsid w:val="00AE3C9F"/>
    <w:rsid w:val="00B31779"/>
    <w:rsid w:val="00C60416"/>
    <w:rsid w:val="00D04DE7"/>
    <w:rsid w:val="00D20330"/>
    <w:rsid w:val="00DD1DB5"/>
    <w:rsid w:val="00E07B3C"/>
    <w:rsid w:val="00E24936"/>
    <w:rsid w:val="00E52235"/>
    <w:rsid w:val="00FD6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91D48"/>
  <w15:chartTrackingRefBased/>
  <w15:docId w15:val="{DE3140BE-987C-4DF5-8544-34BEFE5A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0F1"/>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D82"/>
    <w:pPr>
      <w:spacing w:after="160"/>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804EF"/>
    <w:rPr>
      <w:color w:val="0563C1" w:themeColor="hyperlink"/>
      <w:u w:val="single"/>
    </w:rPr>
  </w:style>
  <w:style w:type="character" w:styleId="UnresolvedMention">
    <w:name w:val="Unresolved Mention"/>
    <w:basedOn w:val="DefaultParagraphFont"/>
    <w:uiPriority w:val="99"/>
    <w:semiHidden/>
    <w:unhideWhenUsed/>
    <w:rsid w:val="00180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578053">
      <w:bodyDiv w:val="1"/>
      <w:marLeft w:val="0"/>
      <w:marRight w:val="0"/>
      <w:marTop w:val="0"/>
      <w:marBottom w:val="0"/>
      <w:divBdr>
        <w:top w:val="none" w:sz="0" w:space="0" w:color="auto"/>
        <w:left w:val="none" w:sz="0" w:space="0" w:color="auto"/>
        <w:bottom w:val="none" w:sz="0" w:space="0" w:color="auto"/>
        <w:right w:val="none" w:sz="0" w:space="0" w:color="auto"/>
      </w:divBdr>
    </w:div>
    <w:div w:id="79980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hp/building-water-system.html" TargetMode="External"/><Relationship Id="rId3" Type="http://schemas.openxmlformats.org/officeDocument/2006/relationships/settings" Target="settings.xml"/><Relationship Id="rId7" Type="http://schemas.openxmlformats.org/officeDocument/2006/relationships/hyperlink" Target="mailto:osceolawater2@windstream.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prinstitute.org/wp-content/uploads/2020/04/FINAL_Coronavirus-Building-Flushing-Guidance-20200403-rev-1.pdf" TargetMode="External"/><Relationship Id="rId11" Type="http://schemas.openxmlformats.org/officeDocument/2006/relationships/fontTable" Target="fontTable.xml"/><Relationship Id="rId5" Type="http://schemas.openxmlformats.org/officeDocument/2006/relationships/hyperlink" Target="https://www.cdc.gov/coronavirus/2019-ncov/php/building-water-system.html" TargetMode="External"/><Relationship Id="rId10" Type="http://schemas.openxmlformats.org/officeDocument/2006/relationships/hyperlink" Target="http://www.spokecom.com" TargetMode="External"/><Relationship Id="rId4" Type="http://schemas.openxmlformats.org/officeDocument/2006/relationships/webSettings" Target="webSettings.xml"/><Relationship Id="rId9" Type="http://schemas.openxmlformats.org/officeDocument/2006/relationships/hyperlink" Target="https://esprinstitute.org/wp-content/uploads/2020/04/FINAL_Coronavirus-Building-Flushing-Guidance-20200403-rev-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Clark</dc:creator>
  <cp:keywords/>
  <dc:description/>
  <cp:lastModifiedBy>Andy Clark</cp:lastModifiedBy>
  <cp:revision>7</cp:revision>
  <dcterms:created xsi:type="dcterms:W3CDTF">2020-05-14T16:50:00Z</dcterms:created>
  <dcterms:modified xsi:type="dcterms:W3CDTF">2020-05-15T18:11:00Z</dcterms:modified>
</cp:coreProperties>
</file>